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292C" w14:textId="018C52D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Pozwolenie na budowę a rozmiar obiektu</w:t>
      </w:r>
    </w:p>
    <w:p w14:paraId="5EC5510D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"Nie można zgodzić się z tezą, że kryterium rozmiaru obiektu jest decydującym dla automatycznego uznania danego obiektu za wymagający pozwolenia na budowę".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Wyrok Naczelnego Sądu Administracyjnego z dnia 10 grudnia 2019 r., II OSK 223/18.</w:t>
      </w:r>
    </w:p>
    <w:p w14:paraId="52C35848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2B1EA5F6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Zasadność opinii rzeczoznawcy majątkowego</w:t>
      </w:r>
    </w:p>
    <w:p w14:paraId="216379F2" w14:textId="77777777" w:rsid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"Rzeczoznawca majątkowy ma swobodę w wyborze właściwego podejścia oraz metody i techniki szacowania. Organ prowadzący postępowanie, a tym bardziej sąd administracyjny, nie może wkraczać w merytoryczną zasadność opinii rzeczoznawcy majątkowego, ponieważ nie dysponuje wiadomościami specjalnymi, które posiada biegły. Powinien jednak dokonać oceny operatu szacunkowego pod względem formalnym, tj. zbadać, czy został on sporządzony i podpisany przez uprawnioną osobę, czy zawiera wymagane przepisami prawa elementy treści, nie zawiera niejasności, pomyłek, braków, które powinny zostać sprostowane lub uzupełnione, aby dokument ten miał wartość dowodową".</w:t>
      </w:r>
    </w:p>
    <w:p w14:paraId="51D1A61C" w14:textId="0049F396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Wyrok Wojewódzkiego Sądu Administracyjnego w Poznaniu z dnia 28 listopada 2019 r., II SA/Po 241/19.</w:t>
      </w:r>
    </w:p>
    <w:p w14:paraId="72DE4E8B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55782A8C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Zmiana sposobu użytkowania obiektu budowlanego lub jego części</w:t>
      </w:r>
    </w:p>
    <w:p w14:paraId="5068B0E5" w14:textId="77777777" w:rsid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 xml:space="preserve">"Zmiana sposobu użytkowania obiektu lub jego części, o której mowa w art. 71 ust. 1 pkt 2 p.b. sprowadza się głównie do potrzeby ustalenia, czy i w jakim stopniu podjęcie lub zaniechanie w obiekcie budowlanym lub jego części działalności związanej z jego użytkowaniem wpływa na zmianę wymagań stawianych obiektowi, związanych głównie z bezpieczeństwem jego dalszego, zmienionego sposobu użytkowania. Zmianę tę trzeba oceniać w porównaniu ze sposobem użytkowania tego obiektu określonego w pozwoleniu na budowę 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lastRenderedPageBreak/>
        <w:t>lub zgłoszeniu, ewentualnie w porównaniu ze sposobem użytkowania wskazanego w późniejszych zezwoleniach na zmianę sposobu użytkowania".</w:t>
      </w:r>
    </w:p>
    <w:p w14:paraId="7E052708" w14:textId="5B571B6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Wyrok Wojewódzkiego Sądu Administracyjnego w Opolu z dnia 17 października 2019 r., II SA/Op 322/19.</w:t>
      </w:r>
    </w:p>
    <w:p w14:paraId="26B74682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6018B294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Charakter prawny wypisu z ewidencji gruntów</w:t>
      </w:r>
    </w:p>
    <w:p w14:paraId="5685BF9B" w14:textId="77777777" w:rsid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"Wypisy z ewidencji gruntów mają charakter dokumentów urzędowych w rozumieniu art. 244 § 1 k.p.c. i korzystają z domniemania zgodności z prawdą zawartego w nich oświadczenia (art. 252 k.p.c.)".</w:t>
      </w:r>
    </w:p>
    <w:p w14:paraId="2E87D14D" w14:textId="641493C5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Wyrok Sądu Apelacyjnego w Warszawie z dnia 26 września 2019 r., I ACa 464/18.</w:t>
      </w:r>
    </w:p>
    <w:p w14:paraId="2B754247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4C7C6653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Warunki scalania i podziału nieruchomości położonych na terenach rolnych</w:t>
      </w:r>
    </w:p>
    <w:p w14:paraId="5B6E5165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"Umieszczenie w ustaleniach planu miejscowego postanowień dotyczących zasad i warunków scalania i podziału nieruchomości położonych na terenach rolnych, narusza przepisy art. 101 ust. 2 u.g.n. Tak opisane naruszenie prawa ma charakter istotny, bowiem przyjętych zasad nie można ustalać dla terenów przeznaczonych w planie miejscowym na cele rolnicze bądź leśne".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Wyrok Wojewódzkiego Sądu Administracyjnego w Poznaniu z dnia 14 sierpnia 2019 r., IV SA/Po 403/19.</w:t>
      </w:r>
    </w:p>
    <w:p w14:paraId="32358854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4ABBC2ED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Tymczasowy obiekt budowlany a podatek od nieruchomości</w:t>
      </w:r>
    </w:p>
    <w:p w14:paraId="2031D1B8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 xml:space="preserve">"Tymczasowy obiekt budowlany, o którym mowa w art. 3 pkt 5 P.b., może być budowlą w rozumieniu art. 1a ust. 1 pkt 2 u.p.o.l i, jeżeli jest budowlą wprost wymienioną w art. 3 pkt 3 P.b. lub w innych przepisach tej ustawy oraz w załączniku do niej, stanowiącą całość 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lastRenderedPageBreak/>
        <w:t>techniczno-użytkową wraz z instalacjami i urządzeniami w rozumieniu art. 3 pkt 1 lit. b P.b., to, o ile jest związany z prowadzeniem działalności gospodarczej, podlega opodatkowaniu".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Wyrok Wojewódzkiego Sądu Administracyjnego w Poznaniu z dnia 4 grudnia 2019 r., I SA/Po 537/19.</w:t>
      </w:r>
    </w:p>
    <w:p w14:paraId="32474E98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749EF362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Decyzja o nakazie rozbiórki obiektu budowlanego</w:t>
      </w:r>
    </w:p>
    <w:p w14:paraId="10EBF276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"Wymienienie trzech kategorii podmiotów zobowiązanych nie oznacza, że obowiązek dokonania czynności obciąża te podmioty solidarnie. Kolejność podmiotów wskazanych w przepisie art. 52 p.b. nie jest przypadkowa. W pierwszej kolejności zobowiązany do dokonania czynności jest inwestor, chyba że w okolicznościach sprawy podmiot ten w dacie orzekania już nie istnieje bądź nie będzie miał możliwości wykonania rozbiórki".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Wyrok Wojewódzkiego Sądu Administracyjnego w Gliwicach z dnia 11 października 2019 r., II SA/Gl 19/19.</w:t>
      </w:r>
    </w:p>
    <w:p w14:paraId="46C15615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02104CD5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Określenie szerokości elewacji frontowej</w:t>
      </w:r>
    </w:p>
    <w:p w14:paraId="364929F2" w14:textId="77777777" w:rsid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"Jeśli organ uzna za konieczne określenie parametru w sposób pozostawiający inwestorowi pewną swobodę, zasadnym jest określenie widełek wartości w jakich ma mieścić się dany parametr. Dozwolona swoboda nie może być jednak zbyt duża, by nie naruszać istoty i celu wydawania decyzji o warunkach zabudowy".</w:t>
      </w:r>
    </w:p>
    <w:p w14:paraId="46603BC1" w14:textId="2FDAECCD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Wyrok Wojewódzkiego Sądu Administracyjnego w Poznaniu z dnia 18 grudnia 2019 r., II SA/Po 348/19.</w:t>
      </w:r>
    </w:p>
    <w:p w14:paraId="74E133AE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7E887F83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Postępowanie w sprawie zezwolenia na niezwłoczne zajęcie nieruchomości</w:t>
      </w:r>
    </w:p>
    <w:p w14:paraId="5590B49B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 xml:space="preserve">"Budowa, czy przebudowa odcinka sieci elektroenergetycznej realizuje wyjątkowo ważny 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lastRenderedPageBreak/>
        <w:t>interes inwestora, ważny interes gospodarczy państwa oraz interes społeczny. Stosownie bowiem do art. 6 pkt 2 u.g.n. celem publicznym w rozumieniu ustawy jest budowa i utrzymywanie ciągów drenażowych, przewodów i urządzeń służących do przesyłania lub dystrybucji płynów, pary, gazów i energii elektrycznej, a także innych obiektów i urządzeń niezbędnych do korzystania z tych przewodów i urządzeń".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Wyrok Naczelnego Sądu Administracyjnego z dnia 22 sierpnia 2019 r., I OSK 2533/17.</w:t>
      </w:r>
    </w:p>
    <w:p w14:paraId="2B6D8D6E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24D776C0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Skutki niewykonania w terminie obowiązku nałożonego przez organ</w:t>
      </w:r>
    </w:p>
    <w:p w14:paraId="363A0172" w14:textId="77777777" w:rsid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"W każdym przypadku stwierdzenia niewykonania obowiązków nałożonych na podstawie art. 51 ust. 1 pkt 2 p.b. organ bezwzględnie musi podjąć decyzję nakazującą zaniechanie dalszych robót budowlanych bądź rozbiórkę obiektu lub jego części, bądź doprowadzenie obiektu do stanu poprzedniego".</w:t>
      </w:r>
    </w:p>
    <w:p w14:paraId="78F369A8" w14:textId="6A5645F5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Wyrok Wojewódzkiego Sądu Administracyjnego w Gorzowie Wielkopolskim z dnia 5 grudnia 2019 r., II SA/Go 555/19.</w:t>
      </w:r>
    </w:p>
    <w:p w14:paraId="2D293DEE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22399C85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Rów melioracyjny jako system kanalizacji deszczowej</w:t>
      </w:r>
    </w:p>
    <w:p w14:paraId="1736519E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"Rów melioracyjny uznać należy za otwarty system kanalizacji deszczowej, o której mowa w art. 272 ust. 5 ustawy z 2017 r. Prawo wodne, skoro umożliwia on odprowadzanie wód opadowych do zalewu, a zatem w świetle pozwolenia wodnoprawnego, jest elementem tego systemu".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Wyrok Wojewódzkiego Sądu Administracyjnego w Łodzi z dnia 9 sierpnia 2019 r., II SA/Łd 355/19.</w:t>
      </w:r>
    </w:p>
    <w:p w14:paraId="19E5CFD3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206298B0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Odmowa uwzględnienia żądania budowy lub przebudowy zjazdu</w:t>
      </w:r>
    </w:p>
    <w:p w14:paraId="2C60AE6C" w14:textId="77777777" w:rsid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lastRenderedPageBreak/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"W myśl art. 29 ust. 2 u.d.p. zarządca drogi w przypadku budowy lub przebudowy drogi - może zbudować lub przebudować zjazdy dotychczas istniejące - w formie czynności, bądź odmówić budowy lub przebudowy - w formie decyzji. Zatem odmowa wykonania takiego zjazdu może nastąpić wyłącznie w drodze decyzji, do wydania której zobowiązuje konstrukcja całego przepisu art. 29 powołanej ustawy".</w:t>
      </w:r>
    </w:p>
    <w:p w14:paraId="018852E9" w14:textId="14103782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Wyrok Naczelnego Sądu Administracyjnego z dnia 7 sierpnia 2019 r., I OSK 974/19.</w:t>
      </w:r>
    </w:p>
    <w:p w14:paraId="65E1663F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131C622C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Określanie wartości budowli przez biegłego</w:t>
      </w:r>
    </w:p>
    <w:p w14:paraId="42EEE469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"W art. 4 ust. 7 u.p.o.l. mowa jest o wartości rynkowej, a nie odtworzeniowej".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Wyrok Wojewódzkiego Sądu Administracyjnego w Łodzi z dnia 20 sierpnia 2019 r., I SA/Łd 215/19.</w:t>
      </w:r>
    </w:p>
    <w:p w14:paraId="61BD7359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3BFF0A0E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Podmioty, którym przysługują roszczenia odszkodowawcze za wywłaszczoną nieruchomość. Następcy prawni</w:t>
      </w:r>
    </w:p>
    <w:p w14:paraId="0446AA19" w14:textId="77777777" w:rsid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"Odszkodowanie, o którym mowa w art. 129 ust. 5 pkt 3 u.g.n., jest odszkodowaniem należnym tylko podmiotowi wywłaszczonemu. Prawo to nie przechodzi co do zasady na następców syngularnych ani uniwersalnych".</w:t>
      </w:r>
    </w:p>
    <w:p w14:paraId="42318411" w14:textId="25F82FD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Wyrok Naczelnego Sądu Administracyjnego z dnia 29 maja 2019 r., I OSK 740/19.</w:t>
      </w:r>
    </w:p>
    <w:p w14:paraId="00A456DF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3BA5628F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Władztwo planistyczne gminy a ograniczenie prawa własności</w:t>
      </w:r>
    </w:p>
    <w:p w14:paraId="52C2CE9B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 xml:space="preserve">"Fakt, że plan miejscowy narusza prawo własności nieruchomości sam w sobie nie jest powodem uznania, że jest on niezgodny z prawem. Do istoty planu miejscowego należy to, że 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lastRenderedPageBreak/>
        <w:t>narusza on prawo własności, gdyż kształtuje wraz z innymi przepisami sposób jego wykonywania".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Wyrok Wojewódzkiego Sądu Administracyjnego w Łodzi z dnia 23 kwietnia 2019 r., II SA/Łd 59/19.</w:t>
      </w:r>
    </w:p>
    <w:p w14:paraId="167D00A1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548DDEAE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Trwałe związanie budynku z gruntem</w:t>
      </w:r>
    </w:p>
    <w:p w14:paraId="61A489E8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"O tym, czy dany obiekt budowlany jest trwale połączony z gruntem decyduje nie tyle sposób i metoda jego związania z gruntem, czy też technologia wykonania fundamentu, która w aktualnym stanie wiedzy technicznej może być różna oraz możliwości techniczne przeniesienia tego obiektu budowlanego w inne miejsce, ale to czy jego wielkość, konstrukcja, przeznaczenie i względy bezpieczeństwa wymagają takiego trwałego związania”.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Wyrok Wojewódzkiego Sądu Administracyjnego w Gdańsku z dnia 17 kwietnia 2019 r., II SA/Gd 706/18.</w:t>
      </w:r>
    </w:p>
    <w:p w14:paraId="004B7B2D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6AC1246B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Przedawnienie roszczenia przysługującego właścicielowi gruntu na podstawie art. 231 § 2 k.c.</w:t>
      </w:r>
    </w:p>
    <w:p w14:paraId="0E9F0A1F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"Roszczenie właściciela gruntu, na którym wzniesiono budynek lub inne urządzenie o wartości przenoszącej znacznie wartość zajętej na ten cel działki, o nabycie przez posiadacza własności działki za odpowiednim wynagrodzeniem (art. 231 § 2 k.c.) nie ulega przedawnieniu".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Uchwała Sądu Najwyższego z dnia 16 maja 2019 r., III CZP 109/18.</w:t>
      </w:r>
    </w:p>
    <w:p w14:paraId="065402AF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5FF7A89F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Skutki wygaśnięcia odrębnej własności lokalu w wyniku jego zburzenia</w:t>
      </w:r>
    </w:p>
    <w:p w14:paraId="3B0CCCAE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 xml:space="preserve">"Wygaśnięcie odrębnej własności lokalu na skutek jego zburzenia powoduje ustanie odrębnej własności drugiego lokalu, natomiast udziały w nieruchomości wspólnej, związane dotychczas 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lastRenderedPageBreak/>
        <w:t>z własnością dwóch lokali, przekształcają się w udziały we współwłasności gruntu zabudowanego budynkiem stanowiącym jego część składową i obejmującym jeden lokal".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Uchwała Sądu Najwyższego z dnia 16 maja 2019 r., III CZP 1/19.</w:t>
      </w:r>
    </w:p>
    <w:p w14:paraId="7514FEC8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417F3B1D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Rozbudowa obiektu budowlanego</w:t>
      </w:r>
    </w:p>
    <w:p w14:paraId="42E0550A" w14:textId="77777777" w:rsid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"Rozbudowa związana jest ze zmianą charakterystycznych parametrów takich jak: kubatura, powierzchnia zabudowy, długość, szerokość bądź liczba kondygnacji, która jednak nie prowadzi do powstania żadnego nowego obiektu, lecz do modyfikacji obiektu wcześniej istniejącego. W wyniku rozbudowy nie powstaje nowy obiekt budowlany czy też nowa substancja budowlana".</w:t>
      </w:r>
    </w:p>
    <w:p w14:paraId="490B9622" w14:textId="332B3D9F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Wyrok Wojewódzkiego Sądu Administracyjnego w Gorzowie Wielkopolskim z dnia 6 marca 2019 r., II SA/Go 1/19.</w:t>
      </w:r>
    </w:p>
    <w:p w14:paraId="5C8B84F2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6F7815A6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Wymóg zapewnienia niezbędnej liczby miejsc parkingowych</w:t>
      </w:r>
    </w:p>
    <w:p w14:paraId="01C52A4A" w14:textId="77777777" w:rsid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b/>
          <w:bCs/>
          <w:color w:val="000000"/>
          <w:lang w:val="pl-US" w:eastAsia="pl-PL"/>
        </w:rPr>
        <w:t>Teza:</w:t>
      </w: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br/>
        <w:t>"Z przepisów dot. planu miejscowego i rozporządzenia z 12 kwietnia 2002 r. w sprawie warunków technicznych, jakim powinny odpowiadać budynki i ich usytuowanienie nie wynika aby w każdej sprawie miejsca postojowe powinny znajdować się na tej samej działce co realizowana inwestycja. Wystarczające jest zagwarantowanie przez inwestora możliwości postoju na cudzym gruncie".</w:t>
      </w:r>
    </w:p>
    <w:p w14:paraId="6CE3640F" w14:textId="03F4107C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Wyrok Naczelnego Sądu Administracyjnego z dnia 17 października 2018 r., II OSK 2561/16.</w:t>
      </w:r>
    </w:p>
    <w:p w14:paraId="6A827CDF" w14:textId="77777777" w:rsidR="00D16255" w:rsidRPr="00D16255" w:rsidRDefault="00D16255" w:rsidP="00D162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pl-US" w:eastAsia="pl-PL"/>
        </w:rPr>
      </w:pPr>
      <w:r w:rsidRPr="00D16255">
        <w:rPr>
          <w:rFonts w:ascii="Times New Roman" w:eastAsia="Times New Roman" w:hAnsi="Times New Roman" w:cs="Times New Roman"/>
          <w:color w:val="000000"/>
          <w:lang w:val="pl-US" w:eastAsia="pl-PL"/>
        </w:rPr>
        <w:t> </w:t>
      </w:r>
    </w:p>
    <w:p w14:paraId="19148CB8" w14:textId="77777777" w:rsidR="00F007C7" w:rsidRPr="00D16255" w:rsidRDefault="00F007C7" w:rsidP="00D16255">
      <w:pPr>
        <w:spacing w:line="360" w:lineRule="auto"/>
        <w:jc w:val="both"/>
        <w:rPr>
          <w:rFonts w:ascii="Times New Roman" w:hAnsi="Times New Roman" w:cs="Times New Roman"/>
          <w:lang w:val="pl-US"/>
        </w:rPr>
      </w:pPr>
    </w:p>
    <w:sectPr w:rsidR="00F007C7" w:rsidRPr="00D16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55"/>
    <w:rsid w:val="00D16255"/>
    <w:rsid w:val="00F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7A46708"/>
  <w15:chartTrackingRefBased/>
  <w15:docId w15:val="{51DE3446-7F39-0342-9257-8EF8EBDB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link w:val="Nagwek4Znak"/>
    <w:uiPriority w:val="9"/>
    <w:qFormat/>
    <w:rsid w:val="00D1625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pl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6255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62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US" w:eastAsia="pl-PL"/>
    </w:rPr>
  </w:style>
  <w:style w:type="character" w:styleId="Pogrubienie">
    <w:name w:val="Strong"/>
    <w:basedOn w:val="Domylnaczcionkaakapitu"/>
    <w:uiPriority w:val="22"/>
    <w:qFormat/>
    <w:rsid w:val="00D16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1435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Badura</dc:creator>
  <cp:keywords/>
  <dc:description/>
  <cp:lastModifiedBy>Ewelina Badura</cp:lastModifiedBy>
  <cp:revision>1</cp:revision>
  <dcterms:created xsi:type="dcterms:W3CDTF">2021-07-26T18:18:00Z</dcterms:created>
  <dcterms:modified xsi:type="dcterms:W3CDTF">2021-07-26T18:20:00Z</dcterms:modified>
</cp:coreProperties>
</file>